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32A9B" w14:textId="0FDD1923" w:rsidR="002D2281" w:rsidRPr="00945DD2" w:rsidRDefault="00294F4A" w:rsidP="00945DD2">
      <w:pPr>
        <w:rPr>
          <w:rFonts w:ascii="Times New Roman" w:hAnsi="Times New Roman" w:cs="Times New Roman"/>
          <w:b/>
          <w:bCs/>
          <w:sz w:val="24"/>
          <w:szCs w:val="24"/>
        </w:rPr>
      </w:pPr>
      <w:r w:rsidRPr="00945DD2">
        <w:rPr>
          <w:rFonts w:ascii="Times New Roman" w:hAnsi="Times New Roman" w:cs="Times New Roman"/>
          <w:b/>
          <w:bCs/>
          <w:sz w:val="24"/>
          <w:szCs w:val="24"/>
        </w:rPr>
        <w:t>Project Overview</w:t>
      </w:r>
    </w:p>
    <w:p w14:paraId="61F636DE" w14:textId="25160B45" w:rsidR="002039E2" w:rsidRDefault="00294F4A" w:rsidP="00F43A3A">
      <w:pPr>
        <w:spacing w:after="240" w:line="22" w:lineRule="atLeast"/>
        <w:ind w:left="720"/>
        <w:contextualSpacing/>
        <w:rPr>
          <w:rFonts w:ascii="Times New Roman" w:hAnsi="Times New Roman" w:cs="Times New Roman"/>
          <w:sz w:val="24"/>
          <w:szCs w:val="24"/>
        </w:rPr>
      </w:pPr>
      <w:r w:rsidRPr="007057FC">
        <w:rPr>
          <w:rFonts w:ascii="Times New Roman" w:hAnsi="Times New Roman" w:cs="Times New Roman"/>
          <w:b/>
          <w:bCs/>
          <w:sz w:val="24"/>
          <w:szCs w:val="24"/>
        </w:rPr>
        <w:tab/>
      </w:r>
      <w:r w:rsidRPr="007057FC">
        <w:rPr>
          <w:rFonts w:ascii="Times New Roman" w:hAnsi="Times New Roman" w:cs="Times New Roman"/>
          <w:sz w:val="24"/>
          <w:szCs w:val="24"/>
        </w:rPr>
        <w:t xml:space="preserve">The Land Conservancy of San Luis Obispo County (“The Land Conservancy”) is requesting partial funding from the Morro Bay National Estuary Program (“MBNEP”) to acquire a conservation easement on the </w:t>
      </w:r>
      <w:r w:rsidR="00663F86" w:rsidRPr="007057FC">
        <w:rPr>
          <w:rFonts w:ascii="Times New Roman" w:hAnsi="Times New Roman" w:cs="Times New Roman"/>
          <w:sz w:val="24"/>
          <w:szCs w:val="24"/>
        </w:rPr>
        <w:t xml:space="preserve">388-acre </w:t>
      </w:r>
      <w:r w:rsidRPr="007057FC">
        <w:rPr>
          <w:rFonts w:ascii="Times New Roman" w:hAnsi="Times New Roman" w:cs="Times New Roman"/>
          <w:sz w:val="24"/>
          <w:szCs w:val="24"/>
        </w:rPr>
        <w:t xml:space="preserve">Lazy LS Ranch in San Luis Obispo County’s </w:t>
      </w:r>
      <w:proofErr w:type="spellStart"/>
      <w:r w:rsidRPr="007057FC">
        <w:rPr>
          <w:rFonts w:ascii="Times New Roman" w:hAnsi="Times New Roman" w:cs="Times New Roman"/>
          <w:sz w:val="24"/>
          <w:szCs w:val="24"/>
        </w:rPr>
        <w:t>Chorro</w:t>
      </w:r>
      <w:proofErr w:type="spellEnd"/>
      <w:r w:rsidRPr="007057FC">
        <w:rPr>
          <w:rFonts w:ascii="Times New Roman" w:hAnsi="Times New Roman" w:cs="Times New Roman"/>
          <w:sz w:val="24"/>
          <w:szCs w:val="24"/>
        </w:rPr>
        <w:t xml:space="preserve"> Valley. This scenic ranch is seated in the upper </w:t>
      </w:r>
      <w:proofErr w:type="spellStart"/>
      <w:r w:rsidRPr="007057FC">
        <w:rPr>
          <w:rFonts w:ascii="Times New Roman" w:hAnsi="Times New Roman" w:cs="Times New Roman"/>
          <w:sz w:val="24"/>
          <w:szCs w:val="24"/>
        </w:rPr>
        <w:t>Chorro</w:t>
      </w:r>
      <w:proofErr w:type="spellEnd"/>
      <w:r w:rsidRPr="007057FC">
        <w:rPr>
          <w:rFonts w:ascii="Times New Roman" w:hAnsi="Times New Roman" w:cs="Times New Roman"/>
          <w:sz w:val="24"/>
          <w:szCs w:val="24"/>
        </w:rPr>
        <w:t xml:space="preserve"> Creek watershed between Morro Bay and the City of San Luis Obispo. </w:t>
      </w:r>
      <w:r w:rsidR="002039E2">
        <w:rPr>
          <w:rFonts w:ascii="Times New Roman" w:hAnsi="Times New Roman" w:cs="Times New Roman"/>
          <w:sz w:val="24"/>
          <w:szCs w:val="24"/>
        </w:rPr>
        <w:t>The property provides a suite of agricultural, wildlife habitat, and watershed benefits. However, the ranch’s scenic location and easy access from Highway 1 make it vulnerable to development and high-intensity land-use change.</w:t>
      </w:r>
      <w:r w:rsidR="00572D7F" w:rsidRPr="00572D7F">
        <w:rPr>
          <w:rFonts w:ascii="Times New Roman" w:hAnsi="Times New Roman" w:cs="Times New Roman"/>
          <w:sz w:val="24"/>
          <w:szCs w:val="24"/>
        </w:rPr>
        <w:t xml:space="preserve"> </w:t>
      </w:r>
      <w:r w:rsidR="00572D7F" w:rsidRPr="007057FC">
        <w:rPr>
          <w:rFonts w:ascii="Times New Roman" w:hAnsi="Times New Roman" w:cs="Times New Roman"/>
          <w:sz w:val="24"/>
          <w:szCs w:val="24"/>
        </w:rPr>
        <w:t xml:space="preserve">A conservation easement on the Lazy LS Ranch will permanently protect the </w:t>
      </w:r>
      <w:r w:rsidR="00572D7F">
        <w:rPr>
          <w:rFonts w:ascii="Times New Roman" w:hAnsi="Times New Roman" w:cs="Times New Roman"/>
          <w:sz w:val="24"/>
          <w:szCs w:val="24"/>
        </w:rPr>
        <w:t>property’s conservation values</w:t>
      </w:r>
      <w:r w:rsidR="00572D7F" w:rsidRPr="007057FC">
        <w:rPr>
          <w:rFonts w:ascii="Times New Roman" w:hAnsi="Times New Roman" w:cs="Times New Roman"/>
          <w:sz w:val="24"/>
          <w:szCs w:val="24"/>
        </w:rPr>
        <w:t xml:space="preserve"> by maintaining current land use patterns on the </w:t>
      </w:r>
      <w:r w:rsidR="00572D7F">
        <w:rPr>
          <w:rFonts w:ascii="Times New Roman" w:hAnsi="Times New Roman" w:cs="Times New Roman"/>
          <w:sz w:val="24"/>
          <w:szCs w:val="24"/>
        </w:rPr>
        <w:t>property</w:t>
      </w:r>
      <w:r w:rsidR="00572D7F" w:rsidRPr="007057FC">
        <w:rPr>
          <w:rFonts w:ascii="Times New Roman" w:hAnsi="Times New Roman" w:cs="Times New Roman"/>
          <w:sz w:val="24"/>
          <w:szCs w:val="24"/>
        </w:rPr>
        <w:t xml:space="preserve">. The Land Conservancy is requesting $148,500 from the Morro Bay National Estuary Program toward the total appraised value of the </w:t>
      </w:r>
      <w:r w:rsidR="00572D7F">
        <w:rPr>
          <w:rFonts w:ascii="Times New Roman" w:hAnsi="Times New Roman" w:cs="Times New Roman"/>
          <w:sz w:val="24"/>
          <w:szCs w:val="24"/>
        </w:rPr>
        <w:t>Lazy LS Ranch conservation easement</w:t>
      </w:r>
      <w:r w:rsidR="00572D7F" w:rsidRPr="007057FC">
        <w:rPr>
          <w:rFonts w:ascii="Times New Roman" w:hAnsi="Times New Roman" w:cs="Times New Roman"/>
          <w:sz w:val="24"/>
          <w:szCs w:val="24"/>
        </w:rPr>
        <w:t>.</w:t>
      </w:r>
    </w:p>
    <w:p w14:paraId="74633BA3" w14:textId="274F4D33" w:rsidR="00AE0B3A" w:rsidRPr="007057FC" w:rsidRDefault="00572D7F" w:rsidP="00572D7F">
      <w:pPr>
        <w:spacing w:after="240" w:line="22" w:lineRule="atLeast"/>
        <w:ind w:left="720"/>
        <w:contextualSpacing/>
        <w:rPr>
          <w:rFonts w:ascii="Times New Roman" w:hAnsi="Times New Roman" w:cs="Times New Roman"/>
          <w:sz w:val="24"/>
          <w:szCs w:val="24"/>
        </w:rPr>
      </w:pPr>
      <w:r>
        <w:rPr>
          <w:rFonts w:ascii="Times New Roman" w:hAnsi="Times New Roman" w:cs="Times New Roman"/>
          <w:sz w:val="24"/>
          <w:szCs w:val="24"/>
        </w:rPr>
        <w:tab/>
        <w:t xml:space="preserve">The Lazy LS Ranch provides a suite of agricultural, wildlife habitat, and watershed benefits in its current, undeveloped state. </w:t>
      </w:r>
      <w:r w:rsidR="00B76312" w:rsidRPr="007057FC">
        <w:rPr>
          <w:rFonts w:ascii="Times New Roman" w:hAnsi="Times New Roman" w:cs="Times New Roman"/>
          <w:sz w:val="24"/>
          <w:szCs w:val="24"/>
        </w:rPr>
        <w:t xml:space="preserve">The </w:t>
      </w:r>
      <w:r>
        <w:rPr>
          <w:rFonts w:ascii="Times New Roman" w:hAnsi="Times New Roman" w:cs="Times New Roman"/>
          <w:sz w:val="24"/>
          <w:szCs w:val="24"/>
        </w:rPr>
        <w:t>property’s</w:t>
      </w:r>
      <w:r w:rsidR="00B76312" w:rsidRPr="007057FC">
        <w:rPr>
          <w:rFonts w:ascii="Times New Roman" w:hAnsi="Times New Roman" w:cs="Times New Roman"/>
          <w:sz w:val="24"/>
          <w:szCs w:val="24"/>
        </w:rPr>
        <w:t xml:space="preserve"> a</w:t>
      </w:r>
      <w:r w:rsidR="000C4E93" w:rsidRPr="007057FC">
        <w:rPr>
          <w:rFonts w:ascii="Times New Roman" w:hAnsi="Times New Roman" w:cs="Times New Roman"/>
          <w:sz w:val="24"/>
          <w:szCs w:val="24"/>
        </w:rPr>
        <w:t xml:space="preserve">bundant annual grasslands, </w:t>
      </w:r>
      <w:r w:rsidR="00AE0B3A" w:rsidRPr="007057FC">
        <w:rPr>
          <w:rFonts w:ascii="Times New Roman" w:hAnsi="Times New Roman" w:cs="Times New Roman"/>
          <w:sz w:val="24"/>
          <w:szCs w:val="24"/>
        </w:rPr>
        <w:t>thriving oak woodlands</w:t>
      </w:r>
      <w:r w:rsidR="000C4E93" w:rsidRPr="007057FC">
        <w:rPr>
          <w:rFonts w:ascii="Times New Roman" w:hAnsi="Times New Roman" w:cs="Times New Roman"/>
          <w:sz w:val="24"/>
          <w:szCs w:val="24"/>
        </w:rPr>
        <w:t>,</w:t>
      </w:r>
      <w:r w:rsidR="00AE0B3A" w:rsidRPr="007057FC">
        <w:rPr>
          <w:rFonts w:ascii="Times New Roman" w:hAnsi="Times New Roman" w:cs="Times New Roman"/>
          <w:sz w:val="24"/>
          <w:szCs w:val="24"/>
        </w:rPr>
        <w:t xml:space="preserve"> and healthy riparian corridors support a variety of local and migratory wildlife</w:t>
      </w:r>
      <w:r w:rsidR="002039E2">
        <w:rPr>
          <w:rFonts w:ascii="Times New Roman" w:hAnsi="Times New Roman" w:cs="Times New Roman"/>
          <w:sz w:val="24"/>
          <w:szCs w:val="24"/>
        </w:rPr>
        <w:t xml:space="preserve"> </w:t>
      </w:r>
      <w:r>
        <w:rPr>
          <w:rFonts w:ascii="Times New Roman" w:hAnsi="Times New Roman" w:cs="Times New Roman"/>
          <w:sz w:val="24"/>
          <w:szCs w:val="24"/>
        </w:rPr>
        <w:t xml:space="preserve">species </w:t>
      </w:r>
      <w:r w:rsidR="002039E2">
        <w:rPr>
          <w:rFonts w:ascii="Times New Roman" w:hAnsi="Times New Roman" w:cs="Times New Roman"/>
          <w:sz w:val="24"/>
          <w:szCs w:val="24"/>
        </w:rPr>
        <w:t>including mountain lion, bobcat</w:t>
      </w:r>
      <w:r w:rsidR="009471E8">
        <w:rPr>
          <w:rFonts w:ascii="Times New Roman" w:hAnsi="Times New Roman" w:cs="Times New Roman"/>
          <w:sz w:val="24"/>
          <w:szCs w:val="24"/>
        </w:rPr>
        <w:t>,</w:t>
      </w:r>
      <w:r w:rsidR="002039E2">
        <w:rPr>
          <w:rFonts w:ascii="Times New Roman" w:hAnsi="Times New Roman" w:cs="Times New Roman"/>
          <w:sz w:val="24"/>
          <w:szCs w:val="24"/>
        </w:rPr>
        <w:t xml:space="preserve"> and American Badger. Owl, red-tailed hawk, and golden eagle also </w:t>
      </w:r>
      <w:r w:rsidR="00BC5179">
        <w:rPr>
          <w:rFonts w:ascii="Times New Roman" w:hAnsi="Times New Roman" w:cs="Times New Roman"/>
          <w:sz w:val="24"/>
          <w:szCs w:val="24"/>
        </w:rPr>
        <w:t xml:space="preserve">live on an migrate through </w:t>
      </w:r>
      <w:r w:rsidR="002039E2">
        <w:rPr>
          <w:rFonts w:ascii="Times New Roman" w:hAnsi="Times New Roman" w:cs="Times New Roman"/>
          <w:sz w:val="24"/>
          <w:szCs w:val="24"/>
        </w:rPr>
        <w:t xml:space="preserve">the property. The ranch’s serpentine rock outcrops and natural springs </w:t>
      </w:r>
      <w:r>
        <w:rPr>
          <w:rFonts w:ascii="Times New Roman" w:hAnsi="Times New Roman" w:cs="Times New Roman"/>
          <w:sz w:val="24"/>
          <w:szCs w:val="24"/>
        </w:rPr>
        <w:t>provide habitat for</w:t>
      </w:r>
      <w:r w:rsidR="002039E2">
        <w:rPr>
          <w:rFonts w:ascii="Times New Roman" w:hAnsi="Times New Roman" w:cs="Times New Roman"/>
          <w:sz w:val="24"/>
          <w:szCs w:val="24"/>
        </w:rPr>
        <w:t xml:space="preserve"> several </w:t>
      </w:r>
      <w:r w:rsidR="00E92CE9" w:rsidRPr="007057FC">
        <w:rPr>
          <w:rFonts w:ascii="Times New Roman" w:hAnsi="Times New Roman" w:cs="Times New Roman"/>
          <w:sz w:val="24"/>
          <w:szCs w:val="24"/>
        </w:rPr>
        <w:t>rare and endemic plant species</w:t>
      </w:r>
      <w:r w:rsidR="002039E2">
        <w:rPr>
          <w:rFonts w:ascii="Times New Roman" w:hAnsi="Times New Roman" w:cs="Times New Roman"/>
          <w:sz w:val="24"/>
          <w:szCs w:val="24"/>
        </w:rPr>
        <w:t xml:space="preserve"> including endangered </w:t>
      </w:r>
      <w:proofErr w:type="spellStart"/>
      <w:r w:rsidR="002039E2">
        <w:rPr>
          <w:rFonts w:ascii="Times New Roman" w:hAnsi="Times New Roman" w:cs="Times New Roman"/>
          <w:sz w:val="24"/>
          <w:szCs w:val="24"/>
        </w:rPr>
        <w:t>Chorro</w:t>
      </w:r>
      <w:proofErr w:type="spellEnd"/>
      <w:r w:rsidR="002039E2">
        <w:rPr>
          <w:rFonts w:ascii="Times New Roman" w:hAnsi="Times New Roman" w:cs="Times New Roman"/>
          <w:sz w:val="24"/>
          <w:szCs w:val="24"/>
        </w:rPr>
        <w:t xml:space="preserve"> Creek bog thistle</w:t>
      </w:r>
      <w:r w:rsidR="000C4E93" w:rsidRPr="007057FC">
        <w:rPr>
          <w:rFonts w:ascii="Times New Roman" w:hAnsi="Times New Roman" w:cs="Times New Roman"/>
          <w:sz w:val="24"/>
          <w:szCs w:val="24"/>
        </w:rPr>
        <w:t>.</w:t>
      </w:r>
      <w:r w:rsidR="002039E2">
        <w:rPr>
          <w:rFonts w:ascii="Times New Roman" w:hAnsi="Times New Roman" w:cs="Times New Roman"/>
          <w:sz w:val="24"/>
          <w:szCs w:val="24"/>
        </w:rPr>
        <w:t xml:space="preserve"> </w:t>
      </w:r>
      <w:r w:rsidR="000C4E93" w:rsidRPr="007057FC">
        <w:rPr>
          <w:rFonts w:ascii="Times New Roman" w:hAnsi="Times New Roman" w:cs="Times New Roman"/>
          <w:sz w:val="24"/>
          <w:szCs w:val="24"/>
        </w:rPr>
        <w:t xml:space="preserve">The landowner, Larry Sage, </w:t>
      </w:r>
      <w:r w:rsidR="00E92CE9" w:rsidRPr="007057FC">
        <w:rPr>
          <w:rFonts w:ascii="Times New Roman" w:hAnsi="Times New Roman" w:cs="Times New Roman"/>
          <w:sz w:val="24"/>
          <w:szCs w:val="24"/>
        </w:rPr>
        <w:t>grazes approximately 50 head of cattle</w:t>
      </w:r>
      <w:r w:rsidR="00B76312" w:rsidRPr="007057FC">
        <w:rPr>
          <w:rFonts w:ascii="Times New Roman" w:hAnsi="Times New Roman" w:cs="Times New Roman"/>
          <w:sz w:val="24"/>
          <w:szCs w:val="24"/>
        </w:rPr>
        <w:t xml:space="preserve"> on the property</w:t>
      </w:r>
      <w:r w:rsidR="002039E2">
        <w:rPr>
          <w:rFonts w:ascii="Times New Roman" w:hAnsi="Times New Roman" w:cs="Times New Roman"/>
          <w:sz w:val="24"/>
          <w:szCs w:val="24"/>
        </w:rPr>
        <w:t>.</w:t>
      </w:r>
      <w:r>
        <w:rPr>
          <w:rFonts w:ascii="Times New Roman" w:hAnsi="Times New Roman" w:cs="Times New Roman"/>
          <w:sz w:val="24"/>
          <w:szCs w:val="24"/>
        </w:rPr>
        <w:t xml:space="preserve"> Cattle are </w:t>
      </w:r>
      <w:r w:rsidR="002039E2">
        <w:rPr>
          <w:rFonts w:ascii="Times New Roman" w:hAnsi="Times New Roman" w:cs="Times New Roman"/>
          <w:sz w:val="24"/>
          <w:szCs w:val="24"/>
        </w:rPr>
        <w:t xml:space="preserve">managed according to a </w:t>
      </w:r>
      <w:r w:rsidR="00E92CE9" w:rsidRPr="007057FC">
        <w:rPr>
          <w:rFonts w:ascii="Times New Roman" w:hAnsi="Times New Roman" w:cs="Times New Roman"/>
          <w:sz w:val="24"/>
          <w:szCs w:val="24"/>
        </w:rPr>
        <w:t xml:space="preserve">sustainable grazing </w:t>
      </w:r>
      <w:r w:rsidR="00CE5145">
        <w:rPr>
          <w:rFonts w:ascii="Times New Roman" w:hAnsi="Times New Roman" w:cs="Times New Roman"/>
          <w:sz w:val="24"/>
          <w:szCs w:val="24"/>
        </w:rPr>
        <w:t xml:space="preserve">regime </w:t>
      </w:r>
      <w:r w:rsidR="002039E2">
        <w:rPr>
          <w:rFonts w:ascii="Times New Roman" w:hAnsi="Times New Roman" w:cs="Times New Roman"/>
          <w:sz w:val="24"/>
          <w:szCs w:val="24"/>
        </w:rPr>
        <w:t>that</w:t>
      </w:r>
      <w:r w:rsidR="005E428E">
        <w:rPr>
          <w:rFonts w:ascii="Times New Roman" w:hAnsi="Times New Roman" w:cs="Times New Roman"/>
          <w:sz w:val="24"/>
          <w:szCs w:val="24"/>
        </w:rPr>
        <w:t xml:space="preserve"> </w:t>
      </w:r>
      <w:r w:rsidR="006B4387">
        <w:rPr>
          <w:rFonts w:ascii="Times New Roman" w:hAnsi="Times New Roman" w:cs="Times New Roman"/>
          <w:sz w:val="24"/>
          <w:szCs w:val="24"/>
        </w:rPr>
        <w:t xml:space="preserve">rotates </w:t>
      </w:r>
      <w:r w:rsidR="005E428E">
        <w:rPr>
          <w:rFonts w:ascii="Times New Roman" w:hAnsi="Times New Roman" w:cs="Times New Roman"/>
          <w:sz w:val="24"/>
          <w:szCs w:val="24"/>
        </w:rPr>
        <w:t>the</w:t>
      </w:r>
      <w:r>
        <w:rPr>
          <w:rFonts w:ascii="Times New Roman" w:hAnsi="Times New Roman" w:cs="Times New Roman"/>
          <w:sz w:val="24"/>
          <w:szCs w:val="24"/>
        </w:rPr>
        <w:t xml:space="preserve"> herd</w:t>
      </w:r>
      <w:r w:rsidR="002039E2">
        <w:rPr>
          <w:rFonts w:ascii="Times New Roman" w:hAnsi="Times New Roman" w:cs="Times New Roman"/>
          <w:sz w:val="24"/>
          <w:szCs w:val="24"/>
        </w:rPr>
        <w:t xml:space="preserve"> through five pastures annually</w:t>
      </w:r>
      <w:r w:rsidR="00B76312" w:rsidRPr="007057FC">
        <w:rPr>
          <w:rFonts w:ascii="Times New Roman" w:hAnsi="Times New Roman" w:cs="Times New Roman"/>
          <w:sz w:val="24"/>
          <w:szCs w:val="24"/>
        </w:rPr>
        <w:t>. Larry has a strong conservation ethic and prioritizes the health and efficient use of the property’s soil and water resources.</w:t>
      </w:r>
      <w:r w:rsidRPr="00572D7F">
        <w:t xml:space="preserve"> </w:t>
      </w:r>
      <w:r w:rsidRPr="00572D7F">
        <w:rPr>
          <w:rFonts w:ascii="Times New Roman" w:hAnsi="Times New Roman" w:cs="Times New Roman"/>
          <w:sz w:val="24"/>
          <w:szCs w:val="24"/>
        </w:rPr>
        <w:t xml:space="preserve">Larry has worked with the Morro Bay National Estuary Program to implement conservation practices designed to protect sensitive riparian areas from erosion. This includes exclusionary fencing around several riparian corridors and protective barriers around coast live oak </w:t>
      </w:r>
      <w:r w:rsidR="009B1F32">
        <w:rPr>
          <w:rFonts w:ascii="Times New Roman" w:hAnsi="Times New Roman" w:cs="Times New Roman"/>
          <w:sz w:val="24"/>
          <w:szCs w:val="24"/>
        </w:rPr>
        <w:t>saplings</w:t>
      </w:r>
      <w:r w:rsidRPr="00572D7F">
        <w:rPr>
          <w:rFonts w:ascii="Times New Roman" w:hAnsi="Times New Roman" w:cs="Times New Roman"/>
          <w:sz w:val="24"/>
          <w:szCs w:val="24"/>
        </w:rPr>
        <w:t>. These actions protect woodland and riparian soils from erosion and benefit downstream water quality</w:t>
      </w:r>
      <w:r>
        <w:rPr>
          <w:rFonts w:ascii="Times New Roman" w:hAnsi="Times New Roman" w:cs="Times New Roman"/>
          <w:sz w:val="24"/>
          <w:szCs w:val="24"/>
        </w:rPr>
        <w:t xml:space="preserve"> </w:t>
      </w:r>
      <w:r w:rsidRPr="00572D7F">
        <w:rPr>
          <w:rFonts w:ascii="Times New Roman" w:hAnsi="Times New Roman" w:cs="Times New Roman"/>
          <w:sz w:val="24"/>
          <w:szCs w:val="24"/>
        </w:rPr>
        <w:t xml:space="preserve">within the </w:t>
      </w:r>
      <w:proofErr w:type="spellStart"/>
      <w:r w:rsidRPr="00572D7F">
        <w:rPr>
          <w:rFonts w:ascii="Times New Roman" w:hAnsi="Times New Roman" w:cs="Times New Roman"/>
          <w:sz w:val="24"/>
          <w:szCs w:val="24"/>
        </w:rPr>
        <w:t>Chorro</w:t>
      </w:r>
      <w:proofErr w:type="spellEnd"/>
      <w:r w:rsidRPr="00572D7F">
        <w:rPr>
          <w:rFonts w:ascii="Times New Roman" w:hAnsi="Times New Roman" w:cs="Times New Roman"/>
          <w:sz w:val="24"/>
          <w:szCs w:val="24"/>
        </w:rPr>
        <w:t xml:space="preserve"> Creek watershed</w:t>
      </w:r>
      <w:r w:rsidR="00956266">
        <w:rPr>
          <w:rFonts w:ascii="Times New Roman" w:hAnsi="Times New Roman" w:cs="Times New Roman"/>
          <w:sz w:val="24"/>
          <w:szCs w:val="24"/>
        </w:rPr>
        <w:t xml:space="preserve">. </w:t>
      </w:r>
      <w:r w:rsidR="00E92CE9" w:rsidRPr="007057FC">
        <w:rPr>
          <w:rFonts w:ascii="Times New Roman" w:hAnsi="Times New Roman" w:cs="Times New Roman"/>
          <w:sz w:val="24"/>
          <w:szCs w:val="24"/>
        </w:rPr>
        <w:t>Without protection, the Lazy LS Ranch could be readily developed as an estate property. This type of development would permanently degrade the ability of the ranch to support local, sustainable agriculture and</w:t>
      </w:r>
      <w:r w:rsidR="00B76312" w:rsidRPr="007057FC">
        <w:rPr>
          <w:rFonts w:ascii="Times New Roman" w:hAnsi="Times New Roman" w:cs="Times New Roman"/>
          <w:sz w:val="24"/>
          <w:szCs w:val="24"/>
        </w:rPr>
        <w:t xml:space="preserve"> would</w:t>
      </w:r>
      <w:r w:rsidR="00E92CE9" w:rsidRPr="007057FC">
        <w:rPr>
          <w:rFonts w:ascii="Times New Roman" w:hAnsi="Times New Roman" w:cs="Times New Roman"/>
          <w:sz w:val="24"/>
          <w:szCs w:val="24"/>
        </w:rPr>
        <w:t xml:space="preserve"> negatively impact wildlife habitat and downstream water quality in </w:t>
      </w:r>
      <w:proofErr w:type="spellStart"/>
      <w:r w:rsidR="00E92CE9" w:rsidRPr="007057FC">
        <w:rPr>
          <w:rFonts w:ascii="Times New Roman" w:hAnsi="Times New Roman" w:cs="Times New Roman"/>
          <w:sz w:val="24"/>
          <w:szCs w:val="24"/>
        </w:rPr>
        <w:t>Chorro</w:t>
      </w:r>
      <w:proofErr w:type="spellEnd"/>
      <w:r w:rsidR="00E92CE9" w:rsidRPr="007057FC">
        <w:rPr>
          <w:rFonts w:ascii="Times New Roman" w:hAnsi="Times New Roman" w:cs="Times New Roman"/>
          <w:sz w:val="24"/>
          <w:szCs w:val="24"/>
        </w:rPr>
        <w:t xml:space="preserve"> Creek and the Morro Bay Estuary. </w:t>
      </w:r>
    </w:p>
    <w:p w14:paraId="698CD2B5" w14:textId="37708046" w:rsidR="00294F4A" w:rsidRDefault="00977AF9" w:rsidP="00945DD2">
      <w:pPr>
        <w:spacing w:after="240" w:line="22" w:lineRule="atLeast"/>
        <w:ind w:left="720"/>
        <w:contextualSpacing/>
        <w:rPr>
          <w:rFonts w:ascii="Times New Roman" w:hAnsi="Times New Roman" w:cs="Times New Roman"/>
          <w:sz w:val="24"/>
          <w:szCs w:val="24"/>
        </w:rPr>
      </w:pPr>
      <w:r w:rsidRPr="007057FC">
        <w:rPr>
          <w:rFonts w:ascii="Times New Roman" w:hAnsi="Times New Roman" w:cs="Times New Roman"/>
          <w:sz w:val="24"/>
          <w:szCs w:val="24"/>
        </w:rPr>
        <w:tab/>
        <w:t xml:space="preserve">The Lazy LS Ranch conservation easement will permanently protect the agricultural, wildlife habitat, and watershed conservation values provided by the property in its current undeveloped state. The easement will prohibit </w:t>
      </w:r>
      <w:r w:rsidR="00F76806" w:rsidRPr="007057FC">
        <w:rPr>
          <w:rFonts w:ascii="Times New Roman" w:hAnsi="Times New Roman" w:cs="Times New Roman"/>
          <w:sz w:val="24"/>
          <w:szCs w:val="24"/>
        </w:rPr>
        <w:t xml:space="preserve">any </w:t>
      </w:r>
      <w:r w:rsidRPr="007057FC">
        <w:rPr>
          <w:rFonts w:ascii="Times New Roman" w:hAnsi="Times New Roman" w:cs="Times New Roman"/>
          <w:sz w:val="24"/>
          <w:szCs w:val="24"/>
        </w:rPr>
        <w:t xml:space="preserve">subdivision of the property and limit future residential development to a single residential home on a pre-identified 1-acre building envelope. The easement will also </w:t>
      </w:r>
      <w:r w:rsidR="00F76806" w:rsidRPr="007057FC">
        <w:rPr>
          <w:rFonts w:ascii="Times New Roman" w:hAnsi="Times New Roman" w:cs="Times New Roman"/>
          <w:sz w:val="24"/>
          <w:szCs w:val="24"/>
        </w:rPr>
        <w:t xml:space="preserve">prohibit high-intensity agricultural operations such as the establishment of vineyards, commercial greenhouses, and commercial feedlots. Agricultural practices related to livestock grazing as well as horse and animal husbandry are not prohibited under the easement. Prohibitions on the removal of native vegetation for reasons other than fire protection, safety, or reasonable land management </w:t>
      </w:r>
      <w:r w:rsidR="007057FC" w:rsidRPr="007057FC">
        <w:rPr>
          <w:rFonts w:ascii="Times New Roman" w:hAnsi="Times New Roman" w:cs="Times New Roman"/>
          <w:sz w:val="24"/>
          <w:szCs w:val="24"/>
        </w:rPr>
        <w:t xml:space="preserve">purposes will ensure that the Lazy LS Ranch remains an open-space property that will continue to support </w:t>
      </w:r>
      <w:r w:rsidR="002039E2">
        <w:rPr>
          <w:rFonts w:ascii="Times New Roman" w:hAnsi="Times New Roman" w:cs="Times New Roman"/>
          <w:sz w:val="24"/>
          <w:szCs w:val="24"/>
        </w:rPr>
        <w:t xml:space="preserve">sustainable livestock grazing </w:t>
      </w:r>
      <w:r w:rsidR="007057FC" w:rsidRPr="007057FC">
        <w:rPr>
          <w:rFonts w:ascii="Times New Roman" w:hAnsi="Times New Roman" w:cs="Times New Roman"/>
          <w:sz w:val="24"/>
          <w:szCs w:val="24"/>
        </w:rPr>
        <w:t>while providing wildlife habitat and watershed benefits</w:t>
      </w:r>
      <w:r w:rsidR="00945DD2">
        <w:rPr>
          <w:rFonts w:ascii="Times New Roman" w:hAnsi="Times New Roman" w:cs="Times New Roman"/>
          <w:sz w:val="24"/>
          <w:szCs w:val="24"/>
        </w:rPr>
        <w:t>.</w:t>
      </w:r>
    </w:p>
    <w:p w14:paraId="2648EF34" w14:textId="560588DF" w:rsidR="00945DD2" w:rsidRPr="00945DD2" w:rsidRDefault="00945DD2" w:rsidP="00945DD2">
      <w:pPr>
        <w:rPr>
          <w:rFonts w:ascii="Times New Roman" w:hAnsi="Times New Roman" w:cs="Times New Roman"/>
          <w:b/>
          <w:bCs/>
          <w:sz w:val="24"/>
          <w:szCs w:val="24"/>
        </w:rPr>
      </w:pPr>
      <w:r w:rsidRPr="00945DD2">
        <w:rPr>
          <w:rFonts w:ascii="Times New Roman" w:hAnsi="Times New Roman" w:cs="Times New Roman"/>
          <w:b/>
          <w:bCs/>
          <w:sz w:val="24"/>
          <w:szCs w:val="24"/>
        </w:rPr>
        <w:t>Project Budget</w:t>
      </w:r>
    </w:p>
    <w:p w14:paraId="6610F4B0" w14:textId="27F1AF36" w:rsidR="00945DD2" w:rsidRDefault="00945DD2" w:rsidP="00290B98">
      <w:pPr>
        <w:spacing w:after="240" w:line="22" w:lineRule="atLeast"/>
        <w:ind w:left="720"/>
        <w:contextualSpacing/>
        <w:rPr>
          <w:rFonts w:ascii="Times New Roman" w:hAnsi="Times New Roman" w:cs="Times New Roman"/>
          <w:sz w:val="24"/>
          <w:szCs w:val="24"/>
        </w:rPr>
      </w:pPr>
      <w:r>
        <w:rPr>
          <w:rFonts w:ascii="Times New Roman" w:hAnsi="Times New Roman" w:cs="Times New Roman"/>
          <w:b/>
          <w:bCs/>
          <w:sz w:val="24"/>
          <w:szCs w:val="24"/>
        </w:rPr>
        <w:lastRenderedPageBreak/>
        <w:tab/>
      </w:r>
      <w:r w:rsidR="00311A7F">
        <w:rPr>
          <w:rFonts w:ascii="Times New Roman" w:hAnsi="Times New Roman" w:cs="Times New Roman"/>
          <w:sz w:val="24"/>
          <w:szCs w:val="24"/>
        </w:rPr>
        <w:t xml:space="preserve">Based on recent completed easement projects, </w:t>
      </w:r>
      <w:r w:rsidR="00290B98">
        <w:rPr>
          <w:rFonts w:ascii="Times New Roman" w:hAnsi="Times New Roman" w:cs="Times New Roman"/>
          <w:sz w:val="24"/>
          <w:szCs w:val="24"/>
        </w:rPr>
        <w:t xml:space="preserve">Land Conservancy staff estimate the value of the Lazy LS Ranch conservation easement at $1,100,000. A conservation easement </w:t>
      </w:r>
      <w:r w:rsidRPr="00945DD2">
        <w:rPr>
          <w:rFonts w:ascii="Times New Roman" w:hAnsi="Times New Roman" w:cs="Times New Roman"/>
          <w:sz w:val="24"/>
          <w:szCs w:val="24"/>
        </w:rPr>
        <w:t xml:space="preserve">appraisal </w:t>
      </w:r>
      <w:r w:rsidR="000F045D">
        <w:rPr>
          <w:rFonts w:ascii="Times New Roman" w:hAnsi="Times New Roman" w:cs="Times New Roman"/>
          <w:sz w:val="24"/>
          <w:szCs w:val="24"/>
        </w:rPr>
        <w:t>has been ordered and will be complete by March 31, 2020</w:t>
      </w:r>
      <w:r w:rsidRPr="00945DD2">
        <w:rPr>
          <w:rFonts w:ascii="Times New Roman" w:hAnsi="Times New Roman" w:cs="Times New Roman"/>
          <w:sz w:val="24"/>
          <w:szCs w:val="24"/>
        </w:rPr>
        <w:t xml:space="preserve">. </w:t>
      </w:r>
      <w:r w:rsidR="00290B98">
        <w:rPr>
          <w:rFonts w:ascii="Times New Roman" w:hAnsi="Times New Roman" w:cs="Times New Roman"/>
          <w:sz w:val="24"/>
          <w:szCs w:val="24"/>
        </w:rPr>
        <w:t xml:space="preserve">Match funding for this conservation easement will be provided by the Sustainable Agricultural Lands Conservation (“SALC”) program. The SALC program is a state grant program administered by the California Department of Conservation. </w:t>
      </w:r>
      <w:r>
        <w:rPr>
          <w:rFonts w:ascii="Times New Roman" w:hAnsi="Times New Roman" w:cs="Times New Roman"/>
          <w:sz w:val="24"/>
          <w:szCs w:val="24"/>
        </w:rPr>
        <w:t xml:space="preserve">In </w:t>
      </w:r>
      <w:r w:rsidR="00290B98">
        <w:rPr>
          <w:rFonts w:ascii="Times New Roman" w:hAnsi="Times New Roman" w:cs="Times New Roman"/>
          <w:sz w:val="24"/>
          <w:szCs w:val="24"/>
        </w:rPr>
        <w:t xml:space="preserve">December 2020, </w:t>
      </w:r>
      <w:r>
        <w:rPr>
          <w:rFonts w:ascii="Times New Roman" w:hAnsi="Times New Roman" w:cs="Times New Roman"/>
          <w:sz w:val="24"/>
          <w:szCs w:val="24"/>
        </w:rPr>
        <w:t>the Lazy LS Ranch</w:t>
      </w:r>
      <w:r w:rsidR="00290B98">
        <w:rPr>
          <w:rFonts w:ascii="Times New Roman" w:hAnsi="Times New Roman" w:cs="Times New Roman"/>
          <w:sz w:val="24"/>
          <w:szCs w:val="24"/>
        </w:rPr>
        <w:t xml:space="preserve"> </w:t>
      </w:r>
      <w:r>
        <w:rPr>
          <w:rFonts w:ascii="Times New Roman" w:hAnsi="Times New Roman" w:cs="Times New Roman"/>
          <w:sz w:val="24"/>
          <w:szCs w:val="24"/>
        </w:rPr>
        <w:t>project received $</w:t>
      </w:r>
      <w:r w:rsidR="00290B98">
        <w:rPr>
          <w:rFonts w:ascii="Times New Roman" w:hAnsi="Times New Roman" w:cs="Times New Roman"/>
          <w:sz w:val="24"/>
          <w:szCs w:val="24"/>
        </w:rPr>
        <w:t>825,000</w:t>
      </w:r>
      <w:r>
        <w:rPr>
          <w:rFonts w:ascii="Times New Roman" w:hAnsi="Times New Roman" w:cs="Times New Roman"/>
          <w:sz w:val="24"/>
          <w:szCs w:val="24"/>
        </w:rPr>
        <w:t xml:space="preserve"> from </w:t>
      </w:r>
      <w:r w:rsidR="00290B98">
        <w:rPr>
          <w:rFonts w:ascii="Times New Roman" w:hAnsi="Times New Roman" w:cs="Times New Roman"/>
          <w:sz w:val="24"/>
          <w:szCs w:val="24"/>
        </w:rPr>
        <w:t>SALC toward the purchase of a conservation easement</w:t>
      </w:r>
      <w:r>
        <w:rPr>
          <w:rFonts w:ascii="Times New Roman" w:hAnsi="Times New Roman" w:cs="Times New Roman"/>
          <w:sz w:val="24"/>
          <w:szCs w:val="24"/>
        </w:rPr>
        <w:t>.</w:t>
      </w:r>
      <w:r w:rsidR="00290B98">
        <w:rPr>
          <w:rFonts w:ascii="Times New Roman" w:hAnsi="Times New Roman" w:cs="Times New Roman"/>
          <w:sz w:val="24"/>
          <w:szCs w:val="24"/>
        </w:rPr>
        <w:t xml:space="preserve"> </w:t>
      </w:r>
      <w:r w:rsidR="00C02BF8">
        <w:rPr>
          <w:rFonts w:ascii="Times New Roman" w:hAnsi="Times New Roman" w:cs="Times New Roman"/>
          <w:sz w:val="24"/>
          <w:szCs w:val="24"/>
        </w:rPr>
        <w:t xml:space="preserve">Up to </w:t>
      </w:r>
      <w:r w:rsidR="00290B98">
        <w:rPr>
          <w:rFonts w:ascii="Times New Roman" w:hAnsi="Times New Roman" w:cs="Times New Roman"/>
          <w:sz w:val="24"/>
          <w:szCs w:val="24"/>
        </w:rPr>
        <w:t xml:space="preserve">$50,000 will be available from SALC </w:t>
      </w:r>
      <w:r w:rsidR="0071145D">
        <w:rPr>
          <w:rFonts w:ascii="Times New Roman" w:hAnsi="Times New Roman" w:cs="Times New Roman"/>
          <w:sz w:val="24"/>
          <w:szCs w:val="24"/>
        </w:rPr>
        <w:t xml:space="preserve">following the successful close of this easement </w:t>
      </w:r>
      <w:r w:rsidR="00290B98">
        <w:rPr>
          <w:rFonts w:ascii="Times New Roman" w:hAnsi="Times New Roman" w:cs="Times New Roman"/>
          <w:sz w:val="24"/>
          <w:szCs w:val="24"/>
        </w:rPr>
        <w:t>to cover associated project costs</w:t>
      </w:r>
      <w:r w:rsidR="00667148">
        <w:rPr>
          <w:rFonts w:ascii="Times New Roman" w:hAnsi="Times New Roman" w:cs="Times New Roman"/>
          <w:sz w:val="24"/>
          <w:szCs w:val="24"/>
        </w:rPr>
        <w:t>,</w:t>
      </w:r>
      <w:r w:rsidR="00290B98">
        <w:rPr>
          <w:rFonts w:ascii="Times New Roman" w:hAnsi="Times New Roman" w:cs="Times New Roman"/>
          <w:sz w:val="24"/>
          <w:szCs w:val="24"/>
        </w:rPr>
        <w:t xml:space="preserve"> </w:t>
      </w:r>
      <w:r w:rsidR="00667148">
        <w:rPr>
          <w:rFonts w:ascii="Times New Roman" w:hAnsi="Times New Roman" w:cs="Times New Roman"/>
          <w:sz w:val="24"/>
          <w:szCs w:val="24"/>
        </w:rPr>
        <w:t xml:space="preserve">such as </w:t>
      </w:r>
      <w:r w:rsidR="00290B98">
        <w:rPr>
          <w:rFonts w:ascii="Times New Roman" w:hAnsi="Times New Roman" w:cs="Times New Roman"/>
          <w:sz w:val="24"/>
          <w:szCs w:val="24"/>
        </w:rPr>
        <w:t>staff time</w:t>
      </w:r>
      <w:r w:rsidR="00311A7F">
        <w:rPr>
          <w:rFonts w:ascii="Times New Roman" w:hAnsi="Times New Roman" w:cs="Times New Roman"/>
          <w:sz w:val="24"/>
          <w:szCs w:val="24"/>
        </w:rPr>
        <w:t xml:space="preserve">, </w:t>
      </w:r>
      <w:r w:rsidR="00E71CFB">
        <w:rPr>
          <w:rFonts w:ascii="Times New Roman" w:hAnsi="Times New Roman" w:cs="Times New Roman"/>
          <w:sz w:val="24"/>
          <w:szCs w:val="24"/>
        </w:rPr>
        <w:t xml:space="preserve">a </w:t>
      </w:r>
      <w:r w:rsidR="00311A7F">
        <w:rPr>
          <w:rFonts w:ascii="Times New Roman" w:hAnsi="Times New Roman" w:cs="Times New Roman"/>
          <w:sz w:val="24"/>
          <w:szCs w:val="24"/>
        </w:rPr>
        <w:t>baseline conditions report,</w:t>
      </w:r>
      <w:r w:rsidR="00290B98">
        <w:rPr>
          <w:rFonts w:ascii="Times New Roman" w:hAnsi="Times New Roman" w:cs="Times New Roman"/>
          <w:sz w:val="24"/>
          <w:szCs w:val="24"/>
        </w:rPr>
        <w:t xml:space="preserve"> and appraisal fees. </w:t>
      </w:r>
      <w:r w:rsidR="00311A7F">
        <w:rPr>
          <w:rFonts w:ascii="Times New Roman" w:hAnsi="Times New Roman" w:cs="Times New Roman"/>
          <w:sz w:val="24"/>
          <w:szCs w:val="24"/>
        </w:rPr>
        <w:t xml:space="preserve">With a contribution of $148,500 from MBNEP, The Land Conservancy will have secured a total of $973,500 toward the purchase of the Lazy LS conservation easement. </w:t>
      </w:r>
    </w:p>
    <w:p w14:paraId="1D8056DF" w14:textId="5F917211" w:rsidR="00311A7F" w:rsidRDefault="00311A7F" w:rsidP="00290B98">
      <w:pPr>
        <w:spacing w:after="240" w:line="22" w:lineRule="atLeast"/>
        <w:ind w:left="720"/>
        <w:contextualSpacing/>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05"/>
        <w:gridCol w:w="1116"/>
        <w:gridCol w:w="1116"/>
        <w:gridCol w:w="1403"/>
        <w:gridCol w:w="1296"/>
      </w:tblGrid>
      <w:tr w:rsidR="00C71EEB" w14:paraId="4189E084" w14:textId="77777777" w:rsidTr="00594C16">
        <w:trPr>
          <w:jc w:val="center"/>
        </w:trPr>
        <w:tc>
          <w:tcPr>
            <w:tcW w:w="2605" w:type="dxa"/>
            <w:vAlign w:val="center"/>
          </w:tcPr>
          <w:p w14:paraId="31B89488" w14:textId="77777777" w:rsidR="00C71EEB" w:rsidRPr="002749E7" w:rsidRDefault="00C71EEB" w:rsidP="00C71EEB">
            <w:pPr>
              <w:pStyle w:val="NoSpacing"/>
              <w:jc w:val="center"/>
              <w:rPr>
                <w:b/>
              </w:rPr>
            </w:pPr>
            <w:bookmarkStart w:id="0" w:name="_Hlk62657221"/>
          </w:p>
        </w:tc>
        <w:tc>
          <w:tcPr>
            <w:tcW w:w="1116" w:type="dxa"/>
            <w:vAlign w:val="center"/>
          </w:tcPr>
          <w:p w14:paraId="1126EC71" w14:textId="77777777" w:rsidR="00C71EEB" w:rsidRPr="002749E7" w:rsidRDefault="00C71EEB" w:rsidP="00C71EEB">
            <w:pPr>
              <w:pStyle w:val="NoSpacing"/>
              <w:jc w:val="center"/>
              <w:rPr>
                <w:b/>
              </w:rPr>
            </w:pPr>
            <w:r>
              <w:rPr>
                <w:b/>
              </w:rPr>
              <w:t>MBNEP</w:t>
            </w:r>
          </w:p>
        </w:tc>
        <w:tc>
          <w:tcPr>
            <w:tcW w:w="1116" w:type="dxa"/>
            <w:vAlign w:val="center"/>
          </w:tcPr>
          <w:p w14:paraId="1D496606" w14:textId="1C52AA14" w:rsidR="00C71EEB" w:rsidRPr="002749E7" w:rsidRDefault="00C71EEB" w:rsidP="00C71EEB">
            <w:pPr>
              <w:pStyle w:val="NoSpacing"/>
              <w:jc w:val="center"/>
              <w:rPr>
                <w:b/>
              </w:rPr>
            </w:pPr>
            <w:r>
              <w:rPr>
                <w:b/>
              </w:rPr>
              <w:t>SALC</w:t>
            </w:r>
          </w:p>
        </w:tc>
        <w:tc>
          <w:tcPr>
            <w:tcW w:w="1403" w:type="dxa"/>
            <w:vAlign w:val="center"/>
          </w:tcPr>
          <w:p w14:paraId="1220EE70" w14:textId="79C34390" w:rsidR="00C71EEB" w:rsidRDefault="00C71EEB" w:rsidP="00C71EEB">
            <w:pPr>
              <w:pStyle w:val="NoSpacing"/>
              <w:jc w:val="center"/>
              <w:rPr>
                <w:b/>
              </w:rPr>
            </w:pPr>
            <w:r>
              <w:rPr>
                <w:b/>
              </w:rPr>
              <w:t>Landowner</w:t>
            </w:r>
          </w:p>
        </w:tc>
        <w:tc>
          <w:tcPr>
            <w:tcW w:w="1230" w:type="dxa"/>
            <w:vAlign w:val="center"/>
          </w:tcPr>
          <w:p w14:paraId="3C73CCF0" w14:textId="4AD5A3AE" w:rsidR="00C71EEB" w:rsidRPr="002749E7" w:rsidRDefault="00C71EEB" w:rsidP="00C71EEB">
            <w:pPr>
              <w:pStyle w:val="NoSpacing"/>
              <w:jc w:val="center"/>
              <w:rPr>
                <w:b/>
              </w:rPr>
            </w:pPr>
            <w:r w:rsidRPr="002749E7">
              <w:rPr>
                <w:b/>
              </w:rPr>
              <w:t>Total</w:t>
            </w:r>
          </w:p>
        </w:tc>
      </w:tr>
      <w:tr w:rsidR="00C71EEB" w14:paraId="20E7AC13" w14:textId="77777777" w:rsidTr="00594C16">
        <w:trPr>
          <w:jc w:val="center"/>
        </w:trPr>
        <w:tc>
          <w:tcPr>
            <w:tcW w:w="2605" w:type="dxa"/>
            <w:vAlign w:val="center"/>
          </w:tcPr>
          <w:p w14:paraId="75ABF9F8" w14:textId="77777777" w:rsidR="00C71EEB" w:rsidRPr="002749E7" w:rsidRDefault="00C71EEB" w:rsidP="00C71EEB">
            <w:pPr>
              <w:pStyle w:val="NoSpacing"/>
              <w:jc w:val="center"/>
              <w:rPr>
                <w:b/>
              </w:rPr>
            </w:pPr>
            <w:r w:rsidRPr="002749E7">
              <w:rPr>
                <w:b/>
              </w:rPr>
              <w:t>Conservation Easement</w:t>
            </w:r>
          </w:p>
        </w:tc>
        <w:tc>
          <w:tcPr>
            <w:tcW w:w="1116" w:type="dxa"/>
            <w:vAlign w:val="center"/>
          </w:tcPr>
          <w:p w14:paraId="61A19554" w14:textId="232D7088" w:rsidR="00C71EEB" w:rsidRDefault="00C71EEB" w:rsidP="00C71EEB">
            <w:pPr>
              <w:pStyle w:val="NoSpacing"/>
              <w:jc w:val="center"/>
            </w:pPr>
            <w:r>
              <w:t>$148,500</w:t>
            </w:r>
          </w:p>
        </w:tc>
        <w:tc>
          <w:tcPr>
            <w:tcW w:w="1116" w:type="dxa"/>
            <w:vAlign w:val="center"/>
          </w:tcPr>
          <w:p w14:paraId="0EEAA9A2" w14:textId="43897392" w:rsidR="00C71EEB" w:rsidRDefault="00C71EEB" w:rsidP="00C71EEB">
            <w:pPr>
              <w:pStyle w:val="NoSpacing"/>
              <w:jc w:val="center"/>
            </w:pPr>
            <w:r>
              <w:t>$825,00</w:t>
            </w:r>
          </w:p>
        </w:tc>
        <w:tc>
          <w:tcPr>
            <w:tcW w:w="1403" w:type="dxa"/>
            <w:vAlign w:val="center"/>
          </w:tcPr>
          <w:p w14:paraId="75B0538A" w14:textId="0733B69D" w:rsidR="00C71EEB" w:rsidRPr="00C71EEB" w:rsidRDefault="00C71EEB" w:rsidP="00C71EEB">
            <w:pPr>
              <w:pStyle w:val="NoSpacing"/>
              <w:jc w:val="center"/>
              <w:rPr>
                <w:bCs/>
              </w:rPr>
            </w:pPr>
            <w:r>
              <w:t>$126,500</w:t>
            </w:r>
          </w:p>
        </w:tc>
        <w:tc>
          <w:tcPr>
            <w:tcW w:w="1230" w:type="dxa"/>
            <w:vAlign w:val="center"/>
          </w:tcPr>
          <w:p w14:paraId="0453E0E7" w14:textId="020D330E" w:rsidR="00C71EEB" w:rsidRPr="00FE3A53" w:rsidRDefault="00C71EEB" w:rsidP="00C71EEB">
            <w:pPr>
              <w:pStyle w:val="NoSpacing"/>
              <w:jc w:val="center"/>
              <w:rPr>
                <w:b/>
              </w:rPr>
            </w:pPr>
            <w:r w:rsidRPr="00FE3A53">
              <w:rPr>
                <w:b/>
              </w:rPr>
              <w:t>$</w:t>
            </w:r>
            <w:r w:rsidR="00594C16">
              <w:rPr>
                <w:b/>
              </w:rPr>
              <w:t>1,100,000</w:t>
            </w:r>
          </w:p>
        </w:tc>
      </w:tr>
      <w:tr w:rsidR="00C71EEB" w14:paraId="691F8A71" w14:textId="77777777" w:rsidTr="00594C16">
        <w:trPr>
          <w:jc w:val="center"/>
        </w:trPr>
        <w:tc>
          <w:tcPr>
            <w:tcW w:w="2605" w:type="dxa"/>
            <w:vAlign w:val="center"/>
          </w:tcPr>
          <w:p w14:paraId="2015D657" w14:textId="77777777" w:rsidR="00C71EEB" w:rsidRDefault="00C71EEB" w:rsidP="00C71EEB">
            <w:pPr>
              <w:pStyle w:val="NoSpacing"/>
              <w:jc w:val="center"/>
              <w:rPr>
                <w:b/>
              </w:rPr>
            </w:pPr>
            <w:r>
              <w:rPr>
                <w:b/>
              </w:rPr>
              <w:t>Associated Costs</w:t>
            </w:r>
          </w:p>
          <w:p w14:paraId="06AF4D4D" w14:textId="086F7DAC" w:rsidR="00C71EEB" w:rsidRPr="002749E7" w:rsidRDefault="00C71EEB" w:rsidP="00C71EEB">
            <w:pPr>
              <w:pStyle w:val="NoSpacing"/>
              <w:jc w:val="center"/>
              <w:rPr>
                <w:b/>
              </w:rPr>
            </w:pPr>
            <w:r>
              <w:rPr>
                <w:b/>
              </w:rPr>
              <w:t>(Appraisal, Baseline Report, etc.)</w:t>
            </w:r>
          </w:p>
        </w:tc>
        <w:tc>
          <w:tcPr>
            <w:tcW w:w="1116" w:type="dxa"/>
            <w:vAlign w:val="center"/>
          </w:tcPr>
          <w:p w14:paraId="0E354643" w14:textId="77777777" w:rsidR="00C71EEB" w:rsidRDefault="00C71EEB" w:rsidP="00C71EEB">
            <w:pPr>
              <w:pStyle w:val="NoSpacing"/>
              <w:jc w:val="center"/>
            </w:pPr>
          </w:p>
        </w:tc>
        <w:tc>
          <w:tcPr>
            <w:tcW w:w="1116" w:type="dxa"/>
            <w:vAlign w:val="center"/>
          </w:tcPr>
          <w:p w14:paraId="2CD5302A" w14:textId="35EF72CA" w:rsidR="00C71EEB" w:rsidRDefault="00C71EEB" w:rsidP="00C71EEB">
            <w:pPr>
              <w:pStyle w:val="NoSpacing"/>
              <w:jc w:val="center"/>
            </w:pPr>
            <w:r>
              <w:t>$50,000</w:t>
            </w:r>
          </w:p>
        </w:tc>
        <w:tc>
          <w:tcPr>
            <w:tcW w:w="1403" w:type="dxa"/>
            <w:vAlign w:val="center"/>
          </w:tcPr>
          <w:p w14:paraId="780F5BE5" w14:textId="65F16C37" w:rsidR="00C71EEB" w:rsidRPr="00FE3A53" w:rsidRDefault="00C71EEB" w:rsidP="00C71EEB">
            <w:pPr>
              <w:pStyle w:val="NoSpacing"/>
              <w:jc w:val="center"/>
              <w:rPr>
                <w:b/>
              </w:rPr>
            </w:pPr>
          </w:p>
        </w:tc>
        <w:tc>
          <w:tcPr>
            <w:tcW w:w="1230" w:type="dxa"/>
            <w:vAlign w:val="center"/>
          </w:tcPr>
          <w:p w14:paraId="2C703EA2" w14:textId="130B7534" w:rsidR="00C71EEB" w:rsidRPr="00FE3A53" w:rsidRDefault="00C71EEB" w:rsidP="00C71EEB">
            <w:pPr>
              <w:pStyle w:val="NoSpacing"/>
              <w:jc w:val="center"/>
              <w:rPr>
                <w:b/>
              </w:rPr>
            </w:pPr>
            <w:r>
              <w:rPr>
                <w:b/>
              </w:rPr>
              <w:t>$50,000</w:t>
            </w:r>
          </w:p>
        </w:tc>
      </w:tr>
      <w:tr w:rsidR="00C71EEB" w14:paraId="6406A43F" w14:textId="77777777" w:rsidTr="00594C16">
        <w:trPr>
          <w:jc w:val="center"/>
        </w:trPr>
        <w:tc>
          <w:tcPr>
            <w:tcW w:w="2605" w:type="dxa"/>
            <w:vAlign w:val="center"/>
          </w:tcPr>
          <w:p w14:paraId="79463D31" w14:textId="7DDB771E" w:rsidR="00C71EEB" w:rsidRPr="0054698F" w:rsidRDefault="00C71EEB" w:rsidP="00C71EEB">
            <w:pPr>
              <w:pStyle w:val="NoSpacing"/>
              <w:jc w:val="center"/>
              <w:rPr>
                <w:b/>
              </w:rPr>
            </w:pPr>
            <w:r w:rsidRPr="0054698F">
              <w:rPr>
                <w:b/>
              </w:rPr>
              <w:t xml:space="preserve">Stewardship </w:t>
            </w:r>
            <w:r w:rsidR="00BA228B" w:rsidRPr="0054698F">
              <w:rPr>
                <w:b/>
              </w:rPr>
              <w:t>Endowment</w:t>
            </w:r>
          </w:p>
        </w:tc>
        <w:tc>
          <w:tcPr>
            <w:tcW w:w="1116" w:type="dxa"/>
            <w:vAlign w:val="center"/>
          </w:tcPr>
          <w:p w14:paraId="16A6741E" w14:textId="77777777" w:rsidR="00C71EEB" w:rsidRPr="0054698F" w:rsidRDefault="00C71EEB" w:rsidP="00C71EEB">
            <w:pPr>
              <w:pStyle w:val="NoSpacing"/>
              <w:jc w:val="center"/>
            </w:pPr>
          </w:p>
        </w:tc>
        <w:tc>
          <w:tcPr>
            <w:tcW w:w="1116" w:type="dxa"/>
            <w:vAlign w:val="center"/>
          </w:tcPr>
          <w:p w14:paraId="0AC16B5C" w14:textId="77777777" w:rsidR="00C71EEB" w:rsidRPr="0054698F" w:rsidRDefault="00C71EEB" w:rsidP="00C71EEB">
            <w:pPr>
              <w:pStyle w:val="NoSpacing"/>
              <w:jc w:val="center"/>
            </w:pPr>
          </w:p>
        </w:tc>
        <w:tc>
          <w:tcPr>
            <w:tcW w:w="1403" w:type="dxa"/>
            <w:vAlign w:val="center"/>
          </w:tcPr>
          <w:p w14:paraId="39404E56" w14:textId="641D8FAB" w:rsidR="0054698F" w:rsidRPr="0054698F" w:rsidRDefault="0054698F" w:rsidP="0054698F">
            <w:pPr>
              <w:pStyle w:val="NoSpacing"/>
              <w:jc w:val="center"/>
              <w:rPr>
                <w:bCs/>
              </w:rPr>
            </w:pPr>
            <w:r w:rsidRPr="0054698F">
              <w:rPr>
                <w:bCs/>
              </w:rPr>
              <w:t>$46,200</w:t>
            </w:r>
          </w:p>
        </w:tc>
        <w:tc>
          <w:tcPr>
            <w:tcW w:w="1230" w:type="dxa"/>
            <w:vAlign w:val="center"/>
          </w:tcPr>
          <w:p w14:paraId="730A0FA2" w14:textId="505D3F88" w:rsidR="0054698F" w:rsidRPr="002D7A28" w:rsidRDefault="0054698F" w:rsidP="0054698F">
            <w:pPr>
              <w:pStyle w:val="NoSpacing"/>
              <w:jc w:val="center"/>
              <w:rPr>
                <w:b/>
                <w:highlight w:val="yellow"/>
              </w:rPr>
            </w:pPr>
            <w:r w:rsidRPr="0054698F">
              <w:rPr>
                <w:b/>
              </w:rPr>
              <w:t>$46,200</w:t>
            </w:r>
          </w:p>
        </w:tc>
      </w:tr>
      <w:tr w:rsidR="00C71EEB" w14:paraId="2D1AAB65" w14:textId="77777777" w:rsidTr="00594C16">
        <w:trPr>
          <w:jc w:val="center"/>
        </w:trPr>
        <w:tc>
          <w:tcPr>
            <w:tcW w:w="2605" w:type="dxa"/>
            <w:vAlign w:val="center"/>
          </w:tcPr>
          <w:p w14:paraId="76009F5C" w14:textId="77777777" w:rsidR="00C71EEB" w:rsidRPr="002749E7" w:rsidRDefault="00C71EEB" w:rsidP="00C71EEB">
            <w:pPr>
              <w:pStyle w:val="NoSpacing"/>
              <w:jc w:val="center"/>
              <w:rPr>
                <w:b/>
              </w:rPr>
            </w:pPr>
            <w:r w:rsidRPr="002749E7">
              <w:rPr>
                <w:b/>
              </w:rPr>
              <w:t>Total</w:t>
            </w:r>
          </w:p>
        </w:tc>
        <w:tc>
          <w:tcPr>
            <w:tcW w:w="1116" w:type="dxa"/>
            <w:vAlign w:val="center"/>
          </w:tcPr>
          <w:p w14:paraId="10EE8090" w14:textId="11288C48" w:rsidR="00C71EEB" w:rsidRDefault="00C71EEB" w:rsidP="00C71EEB">
            <w:pPr>
              <w:pStyle w:val="NoSpacing"/>
              <w:jc w:val="center"/>
            </w:pPr>
            <w:r>
              <w:t>$148,500</w:t>
            </w:r>
          </w:p>
        </w:tc>
        <w:tc>
          <w:tcPr>
            <w:tcW w:w="1116" w:type="dxa"/>
            <w:vAlign w:val="center"/>
          </w:tcPr>
          <w:p w14:paraId="28C6DCC5" w14:textId="7E4C1D39" w:rsidR="00C71EEB" w:rsidRDefault="00C71EEB" w:rsidP="00C71EEB">
            <w:pPr>
              <w:pStyle w:val="NoSpacing"/>
              <w:jc w:val="center"/>
            </w:pPr>
            <w:r>
              <w:t>$875,000</w:t>
            </w:r>
          </w:p>
        </w:tc>
        <w:tc>
          <w:tcPr>
            <w:tcW w:w="1403" w:type="dxa"/>
            <w:vAlign w:val="center"/>
          </w:tcPr>
          <w:p w14:paraId="7CC72018" w14:textId="27B54076" w:rsidR="00C71EEB" w:rsidRPr="00FE3A53" w:rsidRDefault="00C71EEB" w:rsidP="00C71EEB">
            <w:pPr>
              <w:pStyle w:val="NoSpacing"/>
              <w:jc w:val="center"/>
              <w:rPr>
                <w:b/>
              </w:rPr>
            </w:pPr>
            <w:r>
              <w:t>$</w:t>
            </w:r>
            <w:r w:rsidR="0054698F">
              <w:t>172,700</w:t>
            </w:r>
          </w:p>
        </w:tc>
        <w:tc>
          <w:tcPr>
            <w:tcW w:w="1230" w:type="dxa"/>
            <w:vAlign w:val="center"/>
          </w:tcPr>
          <w:p w14:paraId="3A215DDD" w14:textId="09C9D341" w:rsidR="00C71EEB" w:rsidRPr="00FE3A53" w:rsidRDefault="00C71EEB" w:rsidP="00C71EEB">
            <w:pPr>
              <w:pStyle w:val="NoSpacing"/>
              <w:jc w:val="center"/>
              <w:rPr>
                <w:b/>
              </w:rPr>
            </w:pPr>
            <w:r w:rsidRPr="00FE3A53">
              <w:rPr>
                <w:b/>
              </w:rPr>
              <w:t>$</w:t>
            </w:r>
            <w:r w:rsidR="00594C16">
              <w:rPr>
                <w:b/>
              </w:rPr>
              <w:t>1,</w:t>
            </w:r>
            <w:r w:rsidR="0054698F">
              <w:rPr>
                <w:b/>
              </w:rPr>
              <w:t>196,200</w:t>
            </w:r>
          </w:p>
        </w:tc>
      </w:tr>
      <w:bookmarkEnd w:id="0"/>
    </w:tbl>
    <w:p w14:paraId="69D1D3D5" w14:textId="77777777" w:rsidR="00311A7F" w:rsidRPr="00945DD2" w:rsidRDefault="00311A7F" w:rsidP="00290B98">
      <w:pPr>
        <w:spacing w:after="240" w:line="22" w:lineRule="atLeast"/>
        <w:ind w:left="720"/>
        <w:contextualSpacing/>
        <w:rPr>
          <w:rFonts w:ascii="Times New Roman" w:hAnsi="Times New Roman" w:cs="Times New Roman"/>
          <w:sz w:val="24"/>
          <w:szCs w:val="24"/>
        </w:rPr>
      </w:pPr>
    </w:p>
    <w:p w14:paraId="2443933A" w14:textId="2C1A6014" w:rsidR="00311A7F" w:rsidRDefault="00945DD2" w:rsidP="00311A7F">
      <w:pPr>
        <w:spacing w:after="240" w:line="22" w:lineRule="atLeast"/>
        <w:ind w:left="720"/>
        <w:contextualSpacing/>
        <w:rPr>
          <w:rFonts w:ascii="Times New Roman" w:hAnsi="Times New Roman" w:cs="Times New Roman"/>
          <w:sz w:val="24"/>
          <w:szCs w:val="24"/>
        </w:rPr>
      </w:pPr>
      <w:r w:rsidRPr="00945DD2">
        <w:rPr>
          <w:rFonts w:ascii="Times New Roman" w:hAnsi="Times New Roman" w:cs="Times New Roman"/>
          <w:sz w:val="24"/>
          <w:szCs w:val="24"/>
        </w:rPr>
        <w:tab/>
      </w:r>
    </w:p>
    <w:p w14:paraId="0302D978" w14:textId="77777777" w:rsidR="00311A7F" w:rsidRDefault="00311A7F" w:rsidP="00311A7F">
      <w:pPr>
        <w:pStyle w:val="NoSpacing"/>
        <w:rPr>
          <w:b/>
        </w:rPr>
      </w:pPr>
      <w:r>
        <w:rPr>
          <w:b/>
        </w:rPr>
        <w:t>Conservation Easement Monitoring and Enforcement</w:t>
      </w:r>
    </w:p>
    <w:p w14:paraId="1F5D7BFB" w14:textId="77777777" w:rsidR="00311A7F" w:rsidRDefault="00311A7F" w:rsidP="00311A7F">
      <w:pPr>
        <w:pStyle w:val="NoSpacing"/>
        <w:rPr>
          <w:b/>
        </w:rPr>
      </w:pPr>
    </w:p>
    <w:p w14:paraId="4E384B22" w14:textId="77777777" w:rsidR="00C71EEB" w:rsidRDefault="00311A7F" w:rsidP="00C71EEB">
      <w:pPr>
        <w:pStyle w:val="NoSpacing"/>
        <w:ind w:left="720" w:firstLine="720"/>
      </w:pPr>
      <w:r w:rsidRPr="00307227">
        <w:t>The Land Conservancy adheres to a Conservation Easement Monitoring Policy and associated Easement Monitoring Procedure to inform the monitoring process for each easement in its portfolio. Measuring the success of a conservation easement over time begins with a Baseline Conditions Report. This report is required as part of every conservation easement The Land Conservancy holds. Baseline Reports are completed at the time the easement recorded. They document the state of a property when the easement went into effect both in general and with an emphasis on aspects of the property or land uses explicitly address by the easement.</w:t>
      </w:r>
      <w:r w:rsidR="00C71EEB">
        <w:t xml:space="preserve"> </w:t>
      </w:r>
    </w:p>
    <w:p w14:paraId="5E7BF3D1" w14:textId="3B7D3A74" w:rsidR="00311A7F" w:rsidRPr="00307227" w:rsidRDefault="00311A7F" w:rsidP="00C71EEB">
      <w:pPr>
        <w:pStyle w:val="NoSpacing"/>
        <w:ind w:left="720" w:firstLine="720"/>
      </w:pPr>
      <w:r w:rsidRPr="00307227">
        <w:t xml:space="preserve">Following the recordation of an easement, The Land Conservancy will monitor the easement area annually </w:t>
      </w:r>
      <w:proofErr w:type="gramStart"/>
      <w:r w:rsidRPr="00307227">
        <w:t>in order to</w:t>
      </w:r>
      <w:proofErr w:type="gramEnd"/>
      <w:r w:rsidRPr="00307227">
        <w:t xml:space="preserve"> ensure continued compliance with the easement terms. Annual monitoring is conducted by qualified staff and/or volunteers, and is informed by the Baseline Conditions Report, as well as prior annual monitoring reports. Annual monitoring of the easement will provide a consistent measurement of whether the easement is successfully maintaining the conservation values it is intended to protect. The annual monitoring reports are also useful tools for landowners, as they can view changes in the land over time and use that information to improve or adapt their land management strategies.</w:t>
      </w:r>
    </w:p>
    <w:p w14:paraId="54458259" w14:textId="77777777" w:rsidR="00311A7F" w:rsidRPr="0009216A" w:rsidRDefault="00311A7F" w:rsidP="00311A7F">
      <w:pPr>
        <w:pStyle w:val="NoSpacing"/>
        <w:ind w:left="720" w:firstLine="720"/>
      </w:pPr>
      <w:r w:rsidRPr="00307227">
        <w:t xml:space="preserve">Conservation easement monitoring is funded by a stewardship contribution that is calculated based on the anticipated costs of monitoring and relative risk of violation </w:t>
      </w:r>
      <w:r w:rsidRPr="00307227">
        <w:lastRenderedPageBreak/>
        <w:t>given the property location and easement terms. The stewardship contribution is paid by the landowner when the easement is completed. This contribution is added to The Land Conservancy’s Easement Monitoring and Defense Fund, which is set up to provide significant financial resources for the perpetual responsibility of measuring the success of each conservation easement.</w:t>
      </w:r>
    </w:p>
    <w:p w14:paraId="0AE4B510" w14:textId="77777777" w:rsidR="00311A7F" w:rsidRPr="00945DD2" w:rsidRDefault="00311A7F" w:rsidP="00311A7F">
      <w:pPr>
        <w:spacing w:after="240" w:line="22" w:lineRule="atLeast"/>
        <w:contextualSpacing/>
        <w:rPr>
          <w:rFonts w:ascii="Times New Roman" w:hAnsi="Times New Roman" w:cs="Times New Roman"/>
          <w:sz w:val="24"/>
          <w:szCs w:val="24"/>
        </w:rPr>
      </w:pPr>
    </w:p>
    <w:p w14:paraId="50A07B99" w14:textId="544DA0B7" w:rsidR="00945DD2" w:rsidRDefault="00945DD2" w:rsidP="00945DD2">
      <w:pPr>
        <w:spacing w:after="240" w:line="22" w:lineRule="atLeast"/>
        <w:ind w:left="720"/>
        <w:contextualSpacing/>
        <w:rPr>
          <w:rFonts w:ascii="Times New Roman" w:hAnsi="Times New Roman" w:cs="Times New Roman"/>
          <w:sz w:val="24"/>
          <w:szCs w:val="24"/>
        </w:rPr>
      </w:pPr>
      <w:r>
        <w:rPr>
          <w:rFonts w:ascii="Times New Roman" w:hAnsi="Times New Roman" w:cs="Times New Roman"/>
          <w:b/>
          <w:bCs/>
          <w:sz w:val="24"/>
          <w:szCs w:val="24"/>
        </w:rPr>
        <w:tab/>
      </w:r>
    </w:p>
    <w:p w14:paraId="411B7934" w14:textId="77777777" w:rsidR="00945DD2" w:rsidRPr="00945DD2" w:rsidRDefault="00945DD2" w:rsidP="00945DD2">
      <w:pPr>
        <w:spacing w:after="240" w:line="22" w:lineRule="atLeast"/>
        <w:ind w:left="720"/>
        <w:contextualSpacing/>
        <w:rPr>
          <w:rFonts w:ascii="Times New Roman" w:hAnsi="Times New Roman" w:cs="Times New Roman"/>
          <w:sz w:val="24"/>
          <w:szCs w:val="24"/>
        </w:rPr>
      </w:pPr>
    </w:p>
    <w:sectPr w:rsidR="00945DD2" w:rsidRPr="0094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6D"/>
    <w:rsid w:val="000C4E93"/>
    <w:rsid w:val="000C636D"/>
    <w:rsid w:val="000F045D"/>
    <w:rsid w:val="00194A19"/>
    <w:rsid w:val="002039E2"/>
    <w:rsid w:val="00290B98"/>
    <w:rsid w:val="00294F4A"/>
    <w:rsid w:val="002C7551"/>
    <w:rsid w:val="002D7A28"/>
    <w:rsid w:val="00311A7F"/>
    <w:rsid w:val="003D3B4C"/>
    <w:rsid w:val="00464A3C"/>
    <w:rsid w:val="0054698F"/>
    <w:rsid w:val="00572D7F"/>
    <w:rsid w:val="00594C16"/>
    <w:rsid w:val="005D7A61"/>
    <w:rsid w:val="005E428E"/>
    <w:rsid w:val="006000F3"/>
    <w:rsid w:val="00663F86"/>
    <w:rsid w:val="00667148"/>
    <w:rsid w:val="006B4387"/>
    <w:rsid w:val="007057FC"/>
    <w:rsid w:val="0071145D"/>
    <w:rsid w:val="007178EB"/>
    <w:rsid w:val="00737856"/>
    <w:rsid w:val="007A5DEB"/>
    <w:rsid w:val="00816215"/>
    <w:rsid w:val="00945DD2"/>
    <w:rsid w:val="009471E8"/>
    <w:rsid w:val="00955968"/>
    <w:rsid w:val="00956266"/>
    <w:rsid w:val="00977181"/>
    <w:rsid w:val="00977AF9"/>
    <w:rsid w:val="009B1F32"/>
    <w:rsid w:val="00AE0B3A"/>
    <w:rsid w:val="00B6394A"/>
    <w:rsid w:val="00B6612E"/>
    <w:rsid w:val="00B76312"/>
    <w:rsid w:val="00B81835"/>
    <w:rsid w:val="00BA228B"/>
    <w:rsid w:val="00BC5179"/>
    <w:rsid w:val="00C02BF8"/>
    <w:rsid w:val="00C71EEB"/>
    <w:rsid w:val="00CA0251"/>
    <w:rsid w:val="00CE5145"/>
    <w:rsid w:val="00D41B69"/>
    <w:rsid w:val="00D7257B"/>
    <w:rsid w:val="00E142DA"/>
    <w:rsid w:val="00E71CFB"/>
    <w:rsid w:val="00E71DA8"/>
    <w:rsid w:val="00E92CE9"/>
    <w:rsid w:val="00F43A3A"/>
    <w:rsid w:val="00F7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9F2B"/>
  <w15:chartTrackingRefBased/>
  <w15:docId w15:val="{C93EC611-38DB-41FC-896A-06B952AF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1A7F"/>
    <w:pPr>
      <w:spacing w:after="0" w:line="240" w:lineRule="auto"/>
    </w:pPr>
    <w:rPr>
      <w:rFonts w:ascii="Times New Roman" w:hAnsi="Times New Roman" w:cs="Times New Roman"/>
      <w:sz w:val="24"/>
      <w:szCs w:val="24"/>
    </w:rPr>
  </w:style>
  <w:style w:type="table" w:styleId="TableGrid">
    <w:name w:val="Table Grid"/>
    <w:basedOn w:val="TableNormal"/>
    <w:uiPriority w:val="39"/>
    <w:rsid w:val="00311A7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00F3"/>
    <w:pPr>
      <w:spacing w:after="0" w:line="240" w:lineRule="auto"/>
    </w:pPr>
  </w:style>
  <w:style w:type="character" w:styleId="CommentReference">
    <w:name w:val="annotation reference"/>
    <w:basedOn w:val="DefaultParagraphFont"/>
    <w:uiPriority w:val="99"/>
    <w:semiHidden/>
    <w:unhideWhenUsed/>
    <w:rsid w:val="006000F3"/>
    <w:rPr>
      <w:sz w:val="16"/>
      <w:szCs w:val="16"/>
    </w:rPr>
  </w:style>
  <w:style w:type="paragraph" w:styleId="CommentText">
    <w:name w:val="annotation text"/>
    <w:basedOn w:val="Normal"/>
    <w:link w:val="CommentTextChar"/>
    <w:uiPriority w:val="99"/>
    <w:semiHidden/>
    <w:unhideWhenUsed/>
    <w:rsid w:val="006000F3"/>
    <w:pPr>
      <w:spacing w:line="240" w:lineRule="auto"/>
    </w:pPr>
    <w:rPr>
      <w:sz w:val="20"/>
      <w:szCs w:val="20"/>
    </w:rPr>
  </w:style>
  <w:style w:type="character" w:customStyle="1" w:styleId="CommentTextChar">
    <w:name w:val="Comment Text Char"/>
    <w:basedOn w:val="DefaultParagraphFont"/>
    <w:link w:val="CommentText"/>
    <w:uiPriority w:val="99"/>
    <w:semiHidden/>
    <w:rsid w:val="006000F3"/>
    <w:rPr>
      <w:sz w:val="20"/>
      <w:szCs w:val="20"/>
    </w:rPr>
  </w:style>
  <w:style w:type="paragraph" w:styleId="CommentSubject">
    <w:name w:val="annotation subject"/>
    <w:basedOn w:val="CommentText"/>
    <w:next w:val="CommentText"/>
    <w:link w:val="CommentSubjectChar"/>
    <w:uiPriority w:val="99"/>
    <w:semiHidden/>
    <w:unhideWhenUsed/>
    <w:rsid w:val="006000F3"/>
    <w:rPr>
      <w:b/>
      <w:bCs/>
    </w:rPr>
  </w:style>
  <w:style w:type="character" w:customStyle="1" w:styleId="CommentSubjectChar">
    <w:name w:val="Comment Subject Char"/>
    <w:basedOn w:val="CommentTextChar"/>
    <w:link w:val="CommentSubject"/>
    <w:uiPriority w:val="99"/>
    <w:semiHidden/>
    <w:rsid w:val="006000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 Silvey</dc:creator>
  <cp:keywords/>
  <dc:description/>
  <cp:lastModifiedBy>Cain Silvey</cp:lastModifiedBy>
  <cp:revision>2</cp:revision>
  <dcterms:created xsi:type="dcterms:W3CDTF">2021-02-02T21:33:00Z</dcterms:created>
  <dcterms:modified xsi:type="dcterms:W3CDTF">2021-02-02T21:33:00Z</dcterms:modified>
</cp:coreProperties>
</file>